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12" w:rsidRPr="002628A9" w:rsidRDefault="00C47B12" w:rsidP="00C47B12">
      <w:pPr>
        <w:autoSpaceDE w:val="0"/>
        <w:autoSpaceDN w:val="0"/>
        <w:adjustRightInd w:val="0"/>
        <w:spacing w:after="0" w:line="276" w:lineRule="auto"/>
        <w:ind w:left="5529"/>
        <w:rPr>
          <w:rFonts w:ascii="Times New Roman" w:hAnsi="Times New Roman" w:cs="Times New Roman"/>
          <w:b/>
          <w:bCs/>
          <w:sz w:val="28"/>
          <w:szCs w:val="28"/>
        </w:rPr>
      </w:pPr>
      <w:r w:rsidRPr="002628A9">
        <w:rPr>
          <w:rFonts w:ascii="Times New Roman" w:hAnsi="Times New Roman" w:cs="Times New Roman"/>
          <w:b/>
          <w:bCs/>
          <w:sz w:val="28"/>
          <w:szCs w:val="28"/>
        </w:rPr>
        <w:t>ЗАТВЕРДЖЕНО</w:t>
      </w:r>
    </w:p>
    <w:p w:rsidR="00C47B12" w:rsidRPr="002628A9" w:rsidRDefault="00C47B12" w:rsidP="00C47B12">
      <w:pPr>
        <w:autoSpaceDE w:val="0"/>
        <w:autoSpaceDN w:val="0"/>
        <w:adjustRightInd w:val="0"/>
        <w:spacing w:after="0" w:line="276" w:lineRule="auto"/>
        <w:ind w:left="5529"/>
        <w:rPr>
          <w:rFonts w:ascii="Times New Roman" w:hAnsi="Times New Roman" w:cs="Times New Roman"/>
          <w:b/>
          <w:bCs/>
          <w:sz w:val="28"/>
          <w:szCs w:val="28"/>
        </w:rPr>
      </w:pPr>
      <w:r w:rsidRPr="002628A9">
        <w:rPr>
          <w:rFonts w:ascii="Times New Roman" w:hAnsi="Times New Roman" w:cs="Times New Roman"/>
          <w:b/>
          <w:bCs/>
          <w:sz w:val="28"/>
          <w:szCs w:val="28"/>
        </w:rPr>
        <w:t xml:space="preserve">рішенням зборів суддів </w:t>
      </w:r>
    </w:p>
    <w:p w:rsidR="00C47B12" w:rsidRPr="002628A9" w:rsidRDefault="00C47B12" w:rsidP="00C47B12">
      <w:pPr>
        <w:autoSpaceDE w:val="0"/>
        <w:autoSpaceDN w:val="0"/>
        <w:adjustRightInd w:val="0"/>
        <w:spacing w:after="0" w:line="276" w:lineRule="auto"/>
        <w:ind w:left="5529"/>
        <w:rPr>
          <w:rFonts w:ascii="Times New Roman" w:hAnsi="Times New Roman" w:cs="Times New Roman"/>
          <w:b/>
          <w:bCs/>
          <w:sz w:val="28"/>
          <w:szCs w:val="28"/>
        </w:rPr>
      </w:pPr>
      <w:r w:rsidRPr="002628A9">
        <w:rPr>
          <w:rFonts w:ascii="Times New Roman" w:hAnsi="Times New Roman" w:cs="Times New Roman"/>
          <w:b/>
          <w:bCs/>
          <w:sz w:val="28"/>
          <w:szCs w:val="28"/>
        </w:rPr>
        <w:t>Сумського апеляційного суду</w:t>
      </w:r>
    </w:p>
    <w:p w:rsidR="00C47B12" w:rsidRPr="002628A9" w:rsidRDefault="00C47B12" w:rsidP="00C47B12">
      <w:pPr>
        <w:autoSpaceDE w:val="0"/>
        <w:autoSpaceDN w:val="0"/>
        <w:adjustRightInd w:val="0"/>
        <w:spacing w:after="0" w:line="276" w:lineRule="auto"/>
        <w:ind w:left="5529"/>
        <w:rPr>
          <w:rFonts w:ascii="Times New Roman" w:hAnsi="Times New Roman" w:cs="Times New Roman"/>
          <w:b/>
          <w:bCs/>
          <w:sz w:val="28"/>
          <w:szCs w:val="28"/>
        </w:rPr>
      </w:pPr>
      <w:r w:rsidRPr="002628A9">
        <w:rPr>
          <w:rFonts w:ascii="Times New Roman" w:hAnsi="Times New Roman" w:cs="Times New Roman"/>
          <w:b/>
          <w:bCs/>
          <w:sz w:val="28"/>
          <w:szCs w:val="28"/>
        </w:rPr>
        <w:t>№ 10 від 12 грудня 2018 року</w:t>
      </w:r>
    </w:p>
    <w:p w:rsidR="00C47B12" w:rsidRPr="00976E5D" w:rsidRDefault="00C47B12" w:rsidP="00C47B12">
      <w:pPr>
        <w:autoSpaceDE w:val="0"/>
        <w:autoSpaceDN w:val="0"/>
        <w:adjustRightInd w:val="0"/>
        <w:spacing w:after="0" w:line="276" w:lineRule="auto"/>
        <w:ind w:left="5529"/>
        <w:rPr>
          <w:rFonts w:ascii="Times New Roman" w:hAnsi="Times New Roman" w:cs="Times New Roman"/>
          <w:color w:val="FF0000"/>
        </w:rPr>
      </w:pPr>
      <w:r w:rsidRPr="002628A9">
        <w:rPr>
          <w:rFonts w:ascii="Times New Roman" w:hAnsi="Times New Roman" w:cs="Times New Roman"/>
        </w:rPr>
        <w:t>(зі змінами, затвердженими рішеннями зборів суддів Сумського апеляційного суду № 1 від 29 січня 2019 року, № 8 від 14 червня 2019 року, № 9 від 19 червня 2019 року, № 4 від 17.01.2020, № 7 від 15.06.2020, № 11 від 18.11.2020, № 12 від 10.12.2020, № 2 від 10.02.2021, № 8 від 24.02.2021</w:t>
      </w:r>
      <w:r w:rsidR="006409D3" w:rsidRPr="002628A9">
        <w:rPr>
          <w:rFonts w:ascii="Times New Roman" w:hAnsi="Times New Roman" w:cs="Times New Roman"/>
        </w:rPr>
        <w:t>, № 4</w:t>
      </w:r>
      <w:r w:rsidR="000D2FE1" w:rsidRPr="002628A9">
        <w:rPr>
          <w:rFonts w:ascii="Times New Roman" w:hAnsi="Times New Roman" w:cs="Times New Roman"/>
        </w:rPr>
        <w:t xml:space="preserve"> від </w:t>
      </w:r>
      <w:r w:rsidR="006409D3" w:rsidRPr="002628A9">
        <w:rPr>
          <w:rFonts w:ascii="Times New Roman" w:hAnsi="Times New Roman" w:cs="Times New Roman"/>
        </w:rPr>
        <w:t>28.07.</w:t>
      </w:r>
      <w:r w:rsidR="000D2FE1" w:rsidRPr="002628A9">
        <w:rPr>
          <w:rFonts w:ascii="Times New Roman" w:hAnsi="Times New Roman" w:cs="Times New Roman"/>
        </w:rPr>
        <w:t>2022</w:t>
      </w:r>
      <w:r w:rsidR="00D9302B" w:rsidRPr="002628A9">
        <w:rPr>
          <w:rFonts w:ascii="Times New Roman" w:hAnsi="Times New Roman" w:cs="Times New Roman"/>
        </w:rPr>
        <w:t xml:space="preserve">, № </w:t>
      </w:r>
      <w:r w:rsidR="007303FD" w:rsidRPr="002628A9">
        <w:rPr>
          <w:rFonts w:ascii="Times New Roman" w:hAnsi="Times New Roman" w:cs="Times New Roman"/>
        </w:rPr>
        <w:t>7</w:t>
      </w:r>
      <w:r w:rsidR="00D9302B" w:rsidRPr="002628A9">
        <w:rPr>
          <w:rFonts w:ascii="Times New Roman" w:hAnsi="Times New Roman" w:cs="Times New Roman"/>
        </w:rPr>
        <w:t xml:space="preserve"> від </w:t>
      </w:r>
      <w:r w:rsidR="007303FD" w:rsidRPr="002628A9">
        <w:rPr>
          <w:rFonts w:ascii="Times New Roman" w:hAnsi="Times New Roman" w:cs="Times New Roman"/>
        </w:rPr>
        <w:t>29.11.2022</w:t>
      </w:r>
      <w:r w:rsidR="0074479A" w:rsidRPr="00030828">
        <w:rPr>
          <w:rFonts w:ascii="Times New Roman" w:hAnsi="Times New Roman" w:cs="Times New Roman"/>
        </w:rPr>
        <w:t>, №</w:t>
      </w:r>
      <w:r w:rsidR="00030828" w:rsidRPr="00030828">
        <w:rPr>
          <w:rFonts w:ascii="Times New Roman" w:hAnsi="Times New Roman" w:cs="Times New Roman"/>
        </w:rPr>
        <w:t xml:space="preserve"> 1</w:t>
      </w:r>
      <w:r w:rsidR="0074479A" w:rsidRPr="00030828">
        <w:rPr>
          <w:rFonts w:ascii="Times New Roman" w:hAnsi="Times New Roman" w:cs="Times New Roman"/>
        </w:rPr>
        <w:t xml:space="preserve"> від </w:t>
      </w:r>
      <w:r w:rsidR="00030828" w:rsidRPr="00030828">
        <w:rPr>
          <w:rFonts w:ascii="Times New Roman" w:hAnsi="Times New Roman" w:cs="Times New Roman"/>
        </w:rPr>
        <w:t>10.03.2023</w:t>
      </w:r>
      <w:r w:rsidR="00976E5D">
        <w:rPr>
          <w:rFonts w:ascii="Times New Roman" w:hAnsi="Times New Roman" w:cs="Times New Roman"/>
        </w:rPr>
        <w:t xml:space="preserve">, </w:t>
      </w:r>
      <w:r w:rsidR="00976E5D" w:rsidRPr="0060295A">
        <w:rPr>
          <w:rFonts w:ascii="Times New Roman" w:hAnsi="Times New Roman" w:cs="Times New Roman"/>
        </w:rPr>
        <w:t xml:space="preserve">№ </w:t>
      </w:r>
      <w:r w:rsidR="0060295A" w:rsidRPr="0060295A">
        <w:rPr>
          <w:rFonts w:ascii="Times New Roman" w:hAnsi="Times New Roman" w:cs="Times New Roman"/>
        </w:rPr>
        <w:t>9</w:t>
      </w:r>
      <w:r w:rsidR="004E606D" w:rsidRPr="0060295A">
        <w:rPr>
          <w:rFonts w:ascii="Times New Roman" w:hAnsi="Times New Roman" w:cs="Times New Roman"/>
        </w:rPr>
        <w:t xml:space="preserve"> від 25.07.</w:t>
      </w:r>
      <w:r w:rsidR="00976E5D" w:rsidRPr="0060295A">
        <w:rPr>
          <w:rFonts w:ascii="Times New Roman" w:hAnsi="Times New Roman" w:cs="Times New Roman"/>
        </w:rPr>
        <w:t>2023</w:t>
      </w:r>
      <w:r w:rsidR="00725499">
        <w:rPr>
          <w:rFonts w:ascii="Times New Roman" w:hAnsi="Times New Roman" w:cs="Times New Roman"/>
        </w:rPr>
        <w:t>, № 7 від 06.06.2024</w:t>
      </w:r>
      <w:r w:rsidRPr="0060295A">
        <w:rPr>
          <w:rFonts w:ascii="Times New Roman" w:hAnsi="Times New Roman" w:cs="Times New Roman"/>
        </w:rPr>
        <w:t>)</w:t>
      </w:r>
    </w:p>
    <w:p w:rsidR="00C47B12" w:rsidRDefault="00C47B12" w:rsidP="00C47B12">
      <w:pPr>
        <w:autoSpaceDE w:val="0"/>
        <w:autoSpaceDN w:val="0"/>
        <w:adjustRightInd w:val="0"/>
        <w:spacing w:after="0" w:line="276" w:lineRule="auto"/>
        <w:ind w:left="4140"/>
        <w:jc w:val="center"/>
        <w:rPr>
          <w:rFonts w:ascii="Times New Roman" w:hAnsi="Times New Roman" w:cs="Times New Roman"/>
          <w:b/>
          <w:bCs/>
          <w:sz w:val="24"/>
          <w:szCs w:val="24"/>
        </w:rPr>
      </w:pPr>
    </w:p>
    <w:p w:rsidR="00084F5D" w:rsidRPr="002628A9" w:rsidRDefault="00084F5D" w:rsidP="00C47B12">
      <w:pPr>
        <w:autoSpaceDE w:val="0"/>
        <w:autoSpaceDN w:val="0"/>
        <w:adjustRightInd w:val="0"/>
        <w:spacing w:after="0" w:line="276" w:lineRule="auto"/>
        <w:ind w:left="4140"/>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8"/>
          <w:szCs w:val="28"/>
        </w:rPr>
      </w:pPr>
      <w:r w:rsidRPr="002628A9">
        <w:rPr>
          <w:rFonts w:ascii="Times New Roman" w:hAnsi="Times New Roman" w:cs="Times New Roman"/>
          <w:b/>
          <w:bCs/>
          <w:sz w:val="28"/>
          <w:szCs w:val="28"/>
        </w:rPr>
        <w:t>Засади використання автоматизованої системи</w:t>
      </w: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8"/>
          <w:szCs w:val="28"/>
        </w:rPr>
      </w:pPr>
      <w:r w:rsidRPr="002628A9">
        <w:rPr>
          <w:rFonts w:ascii="Times New Roman" w:hAnsi="Times New Roman" w:cs="Times New Roman"/>
          <w:b/>
          <w:bCs/>
          <w:sz w:val="28"/>
          <w:szCs w:val="28"/>
        </w:rPr>
        <w:t>документообігу в Сумському апеляційному суді</w:t>
      </w: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4"/>
          <w:szCs w:val="24"/>
        </w:rPr>
      </w:pPr>
    </w:p>
    <w:p w:rsidR="00C47B12" w:rsidRPr="002628A9" w:rsidRDefault="00C47B12" w:rsidP="00C47B12">
      <w:pPr>
        <w:tabs>
          <w:tab w:val="left" w:pos="3405"/>
          <w:tab w:val="left" w:pos="3630"/>
        </w:tabs>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І. Загальні положення</w:t>
      </w:r>
    </w:p>
    <w:p w:rsidR="00C47B12" w:rsidRPr="002628A9" w:rsidRDefault="00C47B12" w:rsidP="00C47B12">
      <w:pPr>
        <w:autoSpaceDE w:val="0"/>
        <w:autoSpaceDN w:val="0"/>
        <w:adjustRightInd w:val="0"/>
        <w:spacing w:after="0" w:line="276" w:lineRule="auto"/>
        <w:ind w:firstLine="705"/>
        <w:jc w:val="both"/>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1.1. Засади використання автоматизованої системи документообігу в Сумському апеляційному суді (далі - Засади) розроблені відповідно до вимог Закону України «Про судоустрій і статус суддів», Положення про автоматизовану систему документообігу суду, затвердженого рішенням Ради суддів України від 26 листопада 2010 року № 30 (з наступними змінами), та норм діючого процесуального законодавства України.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1.2. У випадках, які не передбачені зазначеними Засадами, порядок функціонування автоматизованої системи документообігу в Сумському апеляційному суді здійснюється за правилами, визначеними Положенням про автоматизовану систему документообігу суду (далі - Положення).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1.3. Персональну відповідальність за забезпечення належної організації функціонування автоматизованої системи в Сумському апеляційному суді та організацію своєчасного внесення до неї необхідних відомостей несе керівник апарату суду, а за забезпечення її належного технічного функціонування – технічний адміністратор.</w:t>
      </w:r>
    </w:p>
    <w:p w:rsidR="00C47B12" w:rsidRPr="002628A9" w:rsidRDefault="00C47B12" w:rsidP="00C47B12">
      <w:pPr>
        <w:autoSpaceDE w:val="0"/>
        <w:autoSpaceDN w:val="0"/>
        <w:adjustRightInd w:val="0"/>
        <w:spacing w:after="0" w:line="276" w:lineRule="auto"/>
        <w:ind w:firstLine="705"/>
        <w:jc w:val="both"/>
        <w:rPr>
          <w:rFonts w:ascii="Times New Roman" w:hAnsi="Times New Roman" w:cs="Times New Roman"/>
          <w:sz w:val="24"/>
          <w:szCs w:val="24"/>
        </w:rPr>
      </w:pPr>
    </w:p>
    <w:p w:rsidR="00C47B12" w:rsidRPr="002628A9" w:rsidRDefault="00C47B12" w:rsidP="00C47B12">
      <w:pPr>
        <w:tabs>
          <w:tab w:val="left" w:pos="3630"/>
        </w:tabs>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ІІ. Особливості загального порядку функціонування автоматизованої системи</w:t>
      </w: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2.1. Поряд із забезпеченням автоматизованою системою автоматизації технологічних процесів обробки інформації, зазначених у розділі ІІ Положення, контроль за дотриманням процесуальних строків розгляду судових справ та інформування головуючого судді (судді-доповідача), голови суду та секретаря судової палати про закінчення цих строків, а також виготовлення і видача копій судових рішень на підставі даних, що містяться в автоматизованій системі, у тому числі надсилання заінтересованим особам оригіналів електронних судових рішень, відправлення їх до ЄДРСР тощо у Сумському апеляційному суді покладається на користувачів автоматизованої системи відповідно до їх функціональних обов’язків.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lastRenderedPageBreak/>
        <w:t>Налаштування автоматизованого робочого місця користувача автоматизованої системи у відповідності до функціональних обов’язків та прав доступу здійснюється технічним адміністратором.</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Використання ЕЦП уповноваженими на це користувачами автоматизованої системи здійснюється в порядку визначеному Законом «Про електронний цифровий підпис».</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2.2. Електронні примірники документів, виготовлених у апеляційному суді, створюються в автоматизованій системі із застосуванням ЕЦП не пізніше наступного робочого дня після їх виготовлення.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2.3 Видача копій судових рішень здійснюється відповідно до процесуального законодавства, Інструкції з діловодства в місцевих та апеляційних судах України та  Закону України «Про доступ до судових рішень».</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i/>
          <w:iCs/>
          <w:sz w:val="24"/>
          <w:szCs w:val="24"/>
        </w:rPr>
      </w:pPr>
      <w:r w:rsidRPr="002628A9">
        <w:rPr>
          <w:rFonts w:ascii="Times New Roman" w:hAnsi="Times New Roman" w:cs="Times New Roman"/>
          <w:i/>
          <w:iCs/>
          <w:sz w:val="24"/>
          <w:szCs w:val="24"/>
        </w:rPr>
        <w:t>(п. 2.3. зі змінами, затвердженими рішенням зборів суддів Сумського апеляційного суду № 4 від 17 січня 2020 року).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2.4 Списки розподілених у автоматизованому режимі справ формуються автоматично і розміщуються у спеціально відведених для цього місцях у приміщенні суду та на офіційному веб-сайті суду для публічного ознайомлення.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2.5. Відомості про набрання судовим рішенням законної сили вносяться до автоматизованої системи працівниками апарату суду відповідно до їх функціональних обов’язків або суддею – доповідачем не пізніше наступного робочого дня після виготовлення та підписання повного тексту судового рішення, а у 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r w:rsidRPr="002628A9">
        <w:rPr>
          <w:rFonts w:ascii="Times New Roman" w:hAnsi="Times New Roman" w:cs="Times New Roman"/>
          <w:b/>
          <w:bCs/>
          <w:sz w:val="24"/>
          <w:szCs w:val="24"/>
        </w:rPr>
        <w:t>ІІІ. Реєстрація справ і матеріалів</w:t>
      </w:r>
    </w:p>
    <w:p w:rsidR="00C47B12" w:rsidRPr="002628A9" w:rsidRDefault="00C47B12" w:rsidP="00C47B12">
      <w:pPr>
        <w:autoSpaceDE w:val="0"/>
        <w:autoSpaceDN w:val="0"/>
        <w:adjustRightInd w:val="0"/>
        <w:spacing w:after="0" w:line="276" w:lineRule="auto"/>
        <w:ind w:firstLine="570"/>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3.1. Реєстрація вхідної і вихідної кореспонденції та етапів її руху здійснюється з дотриманням відповідних норм Інструкції з діловодства в місцевих та апеляційних судах України та пункту 2.2 Положення.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i/>
          <w:iCs/>
          <w:sz w:val="24"/>
          <w:szCs w:val="24"/>
        </w:rPr>
      </w:pPr>
      <w:r w:rsidRPr="002628A9">
        <w:rPr>
          <w:rFonts w:ascii="Times New Roman" w:hAnsi="Times New Roman" w:cs="Times New Roman"/>
          <w:i/>
          <w:iCs/>
          <w:sz w:val="24"/>
          <w:szCs w:val="24"/>
        </w:rPr>
        <w:t>(п. 3.1. зі змінами, затвердженими рішенням зборів суддів Сумського апеляційного суду № 4 від 17 січня 2020 року).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b/>
          <w:bCs/>
          <w:sz w:val="24"/>
          <w:szCs w:val="24"/>
        </w:rPr>
      </w:pPr>
    </w:p>
    <w:p w:rsidR="00C47B12" w:rsidRPr="002628A9" w:rsidRDefault="00C47B12" w:rsidP="00C47B12">
      <w:pPr>
        <w:tabs>
          <w:tab w:val="left" w:pos="3300"/>
          <w:tab w:val="left" w:pos="3525"/>
        </w:tabs>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ІV. Особливості здійснення автоматизованого розподілу судових справ</w:t>
      </w: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 Розподіл судових справ здійснюється у апеляційному суді у автоматизованому режимі в день їх реєстрації згідно з вимогами пункту 2.3 Положення.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4.2. На початку кожного робочого дня, до 08 год. 30 хв., працівник служби управління персоналом перед автоматизованим розподілом судових справ надає керівнику апарату суду довідку щодо відсутності на робочому місці суддів із зазначенням підстав відсутності.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У разі невиходу судді на роботу чи неможливості подальшого протягом робочого дня перебування його на роботі з поважних причин, суддя завчасно повідомляє про це секретаря судової палати і службу управління персоналом для складання нової довідки, яка негайно передається керівнику апарату суду для оперативного коригування даних, які використовуються при автоматизованому розподілі справ.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4.3. Визначення судді-доповідача у справі здійснюється автоматизованою системою за принципом випадковості з урахуванням визначеної зборами суддів спеціалізації.</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lastRenderedPageBreak/>
        <w:t>Склад інших суддів при колегіальному розгляді справи визначається автоматизованою системою з основного складу колегії без урахування спеціалізації та складу судових палат.</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У разі якщо для визначення складу колегії автоматизованою системою не вистачає суддів  з основного складу, склад колегії визначається з числа всіх суддів суду.</w:t>
      </w:r>
    </w:p>
    <w:p w:rsidR="00C47B12"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У таких випадках дату і час призначення справ судді-доповідачі узгоджують з іншими суддями для уникнення призначення на один і той же час двох і більше справ.</w:t>
      </w:r>
    </w:p>
    <w:p w:rsidR="00725499" w:rsidRPr="002628A9" w:rsidRDefault="00725499" w:rsidP="00C47B12">
      <w:pPr>
        <w:autoSpaceDE w:val="0"/>
        <w:autoSpaceDN w:val="0"/>
        <w:adjustRightInd w:val="0"/>
        <w:spacing w:after="0" w:line="276" w:lineRule="auto"/>
        <w:ind w:firstLine="570"/>
        <w:jc w:val="both"/>
        <w:rPr>
          <w:rFonts w:ascii="Times New Roman" w:hAnsi="Times New Roman" w:cs="Times New Roman"/>
          <w:sz w:val="24"/>
          <w:szCs w:val="24"/>
        </w:rPr>
      </w:pPr>
      <w:r w:rsidRPr="00725499">
        <w:rPr>
          <w:rFonts w:ascii="Times New Roman" w:hAnsi="Times New Roman" w:cs="Times New Roman"/>
          <w:sz w:val="24"/>
          <w:szCs w:val="24"/>
        </w:rPr>
        <w:t>У разі неможливості розподілу справ про адміністративні правопорушення між суддями судової палат</w:t>
      </w:r>
      <w:r w:rsidR="00374E39">
        <w:rPr>
          <w:rFonts w:ascii="Times New Roman" w:hAnsi="Times New Roman" w:cs="Times New Roman"/>
          <w:sz w:val="24"/>
          <w:szCs w:val="24"/>
        </w:rPr>
        <w:t>и з розгляду кримінальних справ</w:t>
      </w:r>
      <w:r w:rsidRPr="00725499">
        <w:rPr>
          <w:rFonts w:ascii="Times New Roman" w:hAnsi="Times New Roman" w:cs="Times New Roman"/>
          <w:sz w:val="24"/>
          <w:szCs w:val="24"/>
        </w:rPr>
        <w:t>, здійснювати автоматизований розподіл таких справ між суддями судової палати з розгляду цивіль</w:t>
      </w:r>
      <w:r w:rsidR="00374E39">
        <w:rPr>
          <w:rFonts w:ascii="Times New Roman" w:hAnsi="Times New Roman" w:cs="Times New Roman"/>
          <w:sz w:val="24"/>
          <w:szCs w:val="24"/>
        </w:rPr>
        <w:t>них справ</w:t>
      </w:r>
      <w:r w:rsidRPr="00725499">
        <w:rPr>
          <w:rFonts w:ascii="Times New Roman" w:hAnsi="Times New Roman" w:cs="Times New Roman"/>
          <w:sz w:val="24"/>
          <w:szCs w:val="24"/>
        </w:rPr>
        <w:t>.</w:t>
      </w:r>
    </w:p>
    <w:p w:rsidR="00C47B12" w:rsidRPr="002628A9" w:rsidRDefault="00C47B12" w:rsidP="00C47B12">
      <w:pPr>
        <w:autoSpaceDE w:val="0"/>
        <w:autoSpaceDN w:val="0"/>
        <w:adjustRightInd w:val="0"/>
        <w:spacing w:after="0" w:line="276" w:lineRule="auto"/>
        <w:jc w:val="both"/>
        <w:rPr>
          <w:rFonts w:ascii="Times New Roman" w:hAnsi="Times New Roman" w:cs="Times New Roman"/>
          <w:i/>
          <w:iCs/>
          <w:sz w:val="23"/>
          <w:szCs w:val="23"/>
        </w:rPr>
      </w:pPr>
      <w:r w:rsidRPr="002628A9">
        <w:rPr>
          <w:rFonts w:ascii="Times New Roman" w:hAnsi="Times New Roman" w:cs="Times New Roman"/>
          <w:i/>
          <w:iCs/>
          <w:sz w:val="23"/>
          <w:szCs w:val="23"/>
        </w:rPr>
        <w:t>(п. 4.3. зі змінами, затвердженими рішенням</w:t>
      </w:r>
      <w:r w:rsidR="00725499">
        <w:rPr>
          <w:rFonts w:ascii="Times New Roman" w:hAnsi="Times New Roman" w:cs="Times New Roman"/>
          <w:i/>
          <w:iCs/>
          <w:sz w:val="23"/>
          <w:szCs w:val="23"/>
        </w:rPr>
        <w:t>и</w:t>
      </w:r>
      <w:r w:rsidRPr="002628A9">
        <w:rPr>
          <w:rFonts w:ascii="Times New Roman" w:hAnsi="Times New Roman" w:cs="Times New Roman"/>
          <w:i/>
          <w:iCs/>
          <w:sz w:val="23"/>
          <w:szCs w:val="23"/>
        </w:rPr>
        <w:t xml:space="preserve"> зборів суддів Сумського апеля</w:t>
      </w:r>
      <w:r w:rsidR="00FA1F5B" w:rsidRPr="002628A9">
        <w:rPr>
          <w:rFonts w:ascii="Times New Roman" w:hAnsi="Times New Roman" w:cs="Times New Roman"/>
          <w:i/>
          <w:iCs/>
          <w:sz w:val="23"/>
          <w:szCs w:val="23"/>
        </w:rPr>
        <w:t>ційного суду  № 8 від 24.02.2021</w:t>
      </w:r>
      <w:r w:rsidR="00725499">
        <w:rPr>
          <w:rFonts w:ascii="Times New Roman" w:hAnsi="Times New Roman" w:cs="Times New Roman"/>
          <w:i/>
          <w:iCs/>
          <w:sz w:val="23"/>
          <w:szCs w:val="23"/>
        </w:rPr>
        <w:t xml:space="preserve"> та № 7 від 06.06.2024</w:t>
      </w:r>
      <w:r w:rsidRPr="002628A9">
        <w:rPr>
          <w:rFonts w:ascii="Times New Roman" w:hAnsi="Times New Roman" w:cs="Times New Roman"/>
          <w:i/>
          <w:iCs/>
          <w:sz w:val="23"/>
          <w:szCs w:val="23"/>
        </w:rPr>
        <w:t>)</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4.4. Відповідно до визначеного процесуальним законодавством принципу незмінності складу суду, розгляд справи, як правило, проводиться визначеною автоматизованою системою </w:t>
      </w:r>
      <w:r w:rsidRPr="00030828">
        <w:rPr>
          <w:rFonts w:ascii="Times New Roman" w:hAnsi="Times New Roman" w:cs="Times New Roman"/>
          <w:sz w:val="24"/>
          <w:szCs w:val="24"/>
        </w:rPr>
        <w:t>колегією суддів.</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Тимчасова відсутність судді-члена колегії, як правило, не може бути підставою для зміни складу колегії суддів.</w:t>
      </w:r>
    </w:p>
    <w:p w:rsidR="00681AB2" w:rsidRPr="00030828" w:rsidRDefault="00681AB2" w:rsidP="00681AB2">
      <w:pPr>
        <w:autoSpaceDE w:val="0"/>
        <w:autoSpaceDN w:val="0"/>
        <w:adjustRightInd w:val="0"/>
        <w:spacing w:after="0" w:line="240"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У разі неможливості продовження розгляду справи суддею-членом колегії (призов на військову службу, відпустка у зв'язку з вагітністю та пологами, довготривале перебування на лікарняному або у відпустці,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рішення Вищою радою правосуддя рішення про тимчасове відсторонення судді від здійснення правосуддя тощо) заміна такого судді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судді-доповідача у справі, з метою дотримання встановленого законом строку розгляду справи у порядку, визначеному пунктом 4.3 Засад та підпунктом 2.3.23, п. 2.3 Положення.</w:t>
      </w:r>
    </w:p>
    <w:p w:rsidR="000D2FE1" w:rsidRPr="00030828" w:rsidRDefault="00681AB2" w:rsidP="00681AB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i/>
          <w:iCs/>
          <w:sz w:val="23"/>
          <w:szCs w:val="23"/>
        </w:rPr>
        <w:t>(</w:t>
      </w:r>
      <w:proofErr w:type="spellStart"/>
      <w:r w:rsidR="000D2FE1" w:rsidRPr="00030828">
        <w:rPr>
          <w:rFonts w:ascii="Times New Roman" w:hAnsi="Times New Roman" w:cs="Times New Roman"/>
          <w:i/>
          <w:iCs/>
          <w:sz w:val="23"/>
          <w:szCs w:val="23"/>
        </w:rPr>
        <w:t>абз</w:t>
      </w:r>
      <w:proofErr w:type="spellEnd"/>
      <w:r w:rsidR="000D2FE1" w:rsidRPr="00030828">
        <w:rPr>
          <w:rFonts w:ascii="Times New Roman" w:hAnsi="Times New Roman" w:cs="Times New Roman"/>
          <w:i/>
          <w:iCs/>
          <w:sz w:val="23"/>
          <w:szCs w:val="23"/>
        </w:rPr>
        <w:t xml:space="preserve">. 3 п. 4.4. зі </w:t>
      </w:r>
      <w:r w:rsidR="00FA1F5B" w:rsidRPr="00030828">
        <w:rPr>
          <w:rFonts w:ascii="Times New Roman" w:hAnsi="Times New Roman" w:cs="Times New Roman"/>
          <w:i/>
          <w:iCs/>
          <w:sz w:val="23"/>
          <w:szCs w:val="23"/>
        </w:rPr>
        <w:t>змінами, затвердженими рішенням</w:t>
      </w:r>
      <w:r w:rsidRPr="00030828">
        <w:rPr>
          <w:rFonts w:ascii="Times New Roman" w:hAnsi="Times New Roman" w:cs="Times New Roman"/>
          <w:i/>
          <w:iCs/>
          <w:sz w:val="23"/>
          <w:szCs w:val="23"/>
        </w:rPr>
        <w:t>и</w:t>
      </w:r>
      <w:r w:rsidR="000D2FE1" w:rsidRPr="00030828">
        <w:rPr>
          <w:rFonts w:ascii="Times New Roman" w:hAnsi="Times New Roman" w:cs="Times New Roman"/>
          <w:i/>
          <w:iCs/>
          <w:sz w:val="23"/>
          <w:szCs w:val="23"/>
        </w:rPr>
        <w:t xml:space="preserve"> зборів суддів Сумського апеляційного суду від </w:t>
      </w:r>
      <w:r w:rsidR="006409D3" w:rsidRPr="00030828">
        <w:rPr>
          <w:rFonts w:ascii="Times New Roman" w:hAnsi="Times New Roman" w:cs="Times New Roman"/>
          <w:i/>
          <w:iCs/>
          <w:sz w:val="23"/>
          <w:szCs w:val="23"/>
        </w:rPr>
        <w:t>28.07.</w:t>
      </w:r>
      <w:r w:rsidR="000D2FE1" w:rsidRPr="00030828">
        <w:rPr>
          <w:rFonts w:ascii="Times New Roman" w:hAnsi="Times New Roman" w:cs="Times New Roman"/>
          <w:i/>
          <w:iCs/>
          <w:sz w:val="23"/>
          <w:szCs w:val="23"/>
        </w:rPr>
        <w:t xml:space="preserve">2022 № </w:t>
      </w:r>
      <w:r w:rsidR="006409D3" w:rsidRPr="00030828">
        <w:rPr>
          <w:rFonts w:ascii="Times New Roman" w:hAnsi="Times New Roman" w:cs="Times New Roman"/>
          <w:i/>
          <w:iCs/>
          <w:sz w:val="23"/>
          <w:szCs w:val="23"/>
        </w:rPr>
        <w:t>4</w:t>
      </w:r>
      <w:r w:rsidR="007303FD" w:rsidRPr="00030828">
        <w:rPr>
          <w:rFonts w:ascii="Times New Roman" w:hAnsi="Times New Roman" w:cs="Times New Roman"/>
          <w:i/>
          <w:iCs/>
          <w:sz w:val="23"/>
          <w:szCs w:val="23"/>
        </w:rPr>
        <w:t>, від 29.11.</w:t>
      </w:r>
      <w:r w:rsidRPr="00030828">
        <w:rPr>
          <w:rFonts w:ascii="Times New Roman" w:hAnsi="Times New Roman" w:cs="Times New Roman"/>
          <w:i/>
          <w:iCs/>
          <w:sz w:val="23"/>
          <w:szCs w:val="23"/>
        </w:rPr>
        <w:t xml:space="preserve">2022 № </w:t>
      </w:r>
      <w:r w:rsidR="007303FD" w:rsidRPr="00030828">
        <w:rPr>
          <w:rFonts w:ascii="Times New Roman" w:hAnsi="Times New Roman" w:cs="Times New Roman"/>
          <w:i/>
          <w:iCs/>
          <w:sz w:val="23"/>
          <w:szCs w:val="23"/>
        </w:rPr>
        <w:t>7</w:t>
      </w:r>
      <w:r w:rsidR="000D2FE1" w:rsidRPr="00030828">
        <w:rPr>
          <w:rFonts w:ascii="Times New Roman" w:hAnsi="Times New Roman" w:cs="Times New Roman"/>
          <w:i/>
          <w:iCs/>
          <w:sz w:val="23"/>
          <w:szCs w:val="23"/>
        </w:rPr>
        <w:t>)</w:t>
      </w:r>
      <w:r w:rsidR="007303FD" w:rsidRPr="00030828">
        <w:rPr>
          <w:rFonts w:ascii="Times New Roman" w:hAnsi="Times New Roman" w:cs="Times New Roman"/>
          <w:i/>
          <w:iCs/>
          <w:sz w:val="23"/>
          <w:szCs w:val="23"/>
        </w:rPr>
        <w:t>.</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 xml:space="preserve">Електронний примірник такого розпорядження вноситься до автоматизованої системи не пізніше наступного робочого дня, що настає після його підписання. </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За відсутності технічної можливості автоматичного виключення суддів, які не можуть брати участь в розгляді справи, під час реєстрації судової справи відповідальний за здійснення автоматизованого розподілу судових справ працівник відділу на підставі наявних в матеріалах справи та в автоматизованій системі даних про недопустимість повторної участі судді у кримінальному провадженні відповідно до вимог ст. 76 КПК України та недопустимості повторної участі судді в розгляді цивільної справи відповідно до вимог ст. 37 ЦПК України вносить цю інформацію до обліково-статистичної картки, заповнюючи підпункт «Судді, які не мають права брати участь у розгляді» пункту 13, та складає відповідну довідку.</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Обставини, що виключають участь судді в кримінальному провадженні, передбачені ст.75 КПК України, та підстави для відводу (самовідводу) суді, передбачені ст. 36 ЦПК України, визначаються суддею-доповідачем.</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4.5. Визначення запасного судді, заміна основного судді запасним суддею у кримінальному провадженні та визначення слідчого судді провадиться за правилами п. п. 2.3.35-2.3.42 Положення.</w:t>
      </w:r>
    </w:p>
    <w:p w:rsidR="00C47B12"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4.6. Для забезпечення визначення складу колегії та заміни судді-члена колегії в апеляційному суді утворюються колегії суддів.</w:t>
      </w:r>
    </w:p>
    <w:p w:rsidR="00C55BB7" w:rsidRDefault="00C55BB7" w:rsidP="00C47B12">
      <w:pPr>
        <w:autoSpaceDE w:val="0"/>
        <w:autoSpaceDN w:val="0"/>
        <w:adjustRightInd w:val="0"/>
        <w:spacing w:after="0" w:line="276" w:lineRule="auto"/>
        <w:ind w:firstLine="570"/>
        <w:jc w:val="both"/>
        <w:rPr>
          <w:rFonts w:ascii="Times New Roman" w:hAnsi="Times New Roman" w:cs="Times New Roman"/>
          <w:sz w:val="24"/>
          <w:szCs w:val="24"/>
        </w:rPr>
      </w:pPr>
      <w:bookmarkStart w:id="0" w:name="_GoBack"/>
      <w:bookmarkEnd w:id="0"/>
    </w:p>
    <w:p w:rsidR="00084F5D" w:rsidRPr="00030828" w:rsidRDefault="00084F5D" w:rsidP="00C47B12">
      <w:pPr>
        <w:autoSpaceDE w:val="0"/>
        <w:autoSpaceDN w:val="0"/>
        <w:adjustRightInd w:val="0"/>
        <w:spacing w:after="0" w:line="276" w:lineRule="auto"/>
        <w:ind w:firstLine="570"/>
        <w:jc w:val="both"/>
        <w:rPr>
          <w:rFonts w:ascii="Times New Roman" w:hAnsi="Times New Roman" w:cs="Times New Roman"/>
          <w:sz w:val="24"/>
          <w:szCs w:val="24"/>
        </w:rPr>
      </w:pPr>
    </w:p>
    <w:p w:rsidR="00C47B12" w:rsidRPr="00030828" w:rsidRDefault="00C47B12" w:rsidP="00C47B12">
      <w:pPr>
        <w:autoSpaceDE w:val="0"/>
        <w:autoSpaceDN w:val="0"/>
        <w:adjustRightInd w:val="0"/>
        <w:spacing w:after="0" w:line="276" w:lineRule="auto"/>
        <w:ind w:firstLine="705"/>
        <w:jc w:val="both"/>
        <w:rPr>
          <w:rFonts w:ascii="Times New Roman" w:hAnsi="Times New Roman" w:cs="Times New Roman"/>
          <w:b/>
          <w:bCs/>
          <w:sz w:val="24"/>
          <w:szCs w:val="24"/>
          <w:u w:val="single"/>
        </w:rPr>
      </w:pPr>
      <w:r w:rsidRPr="00030828">
        <w:rPr>
          <w:rFonts w:ascii="Times New Roman" w:hAnsi="Times New Roman" w:cs="Times New Roman"/>
          <w:b/>
          <w:bCs/>
          <w:sz w:val="24"/>
          <w:szCs w:val="24"/>
          <w:u w:val="single"/>
        </w:rPr>
        <w:lastRenderedPageBreak/>
        <w:t>Колегія з розгляду цивільних справах:</w:t>
      </w:r>
    </w:p>
    <w:p w:rsidR="00C47B12" w:rsidRPr="00084F5D" w:rsidRDefault="00C47B12" w:rsidP="00C47B12">
      <w:pPr>
        <w:autoSpaceDE w:val="0"/>
        <w:autoSpaceDN w:val="0"/>
        <w:adjustRightInd w:val="0"/>
        <w:spacing w:after="0" w:line="276" w:lineRule="auto"/>
        <w:ind w:firstLine="705"/>
        <w:jc w:val="both"/>
        <w:rPr>
          <w:rFonts w:ascii="Times New Roman" w:hAnsi="Times New Roman" w:cs="Times New Roman"/>
          <w:b/>
          <w:bCs/>
          <w:sz w:val="24"/>
          <w:szCs w:val="24"/>
        </w:rPr>
      </w:pPr>
      <w:r w:rsidRPr="00084F5D">
        <w:rPr>
          <w:rFonts w:ascii="Times New Roman" w:hAnsi="Times New Roman" w:cs="Times New Roman"/>
          <w:b/>
          <w:bCs/>
          <w:sz w:val="24"/>
          <w:szCs w:val="24"/>
        </w:rPr>
        <w:t>Основний склад:</w:t>
      </w:r>
    </w:p>
    <w:p w:rsidR="00C47B12" w:rsidRPr="00084F5D" w:rsidRDefault="00C47B12" w:rsidP="00C47B12">
      <w:pPr>
        <w:numPr>
          <w:ilvl w:val="0"/>
          <w:numId w:val="1"/>
        </w:numPr>
        <w:autoSpaceDE w:val="0"/>
        <w:autoSpaceDN w:val="0"/>
        <w:adjustRightInd w:val="0"/>
        <w:spacing w:after="0" w:line="276" w:lineRule="auto"/>
        <w:jc w:val="both"/>
        <w:rPr>
          <w:rFonts w:ascii="Times New Roman" w:hAnsi="Times New Roman" w:cs="Times New Roman"/>
          <w:sz w:val="24"/>
          <w:szCs w:val="24"/>
        </w:rPr>
      </w:pPr>
      <w:proofErr w:type="spellStart"/>
      <w:r w:rsidRPr="00084F5D">
        <w:rPr>
          <w:rFonts w:ascii="Times New Roman" w:hAnsi="Times New Roman" w:cs="Times New Roman"/>
          <w:sz w:val="24"/>
          <w:szCs w:val="24"/>
        </w:rPr>
        <w:t>Криворотенко</w:t>
      </w:r>
      <w:proofErr w:type="spellEnd"/>
      <w:r w:rsidRPr="00084F5D">
        <w:rPr>
          <w:rFonts w:ascii="Times New Roman" w:hAnsi="Times New Roman" w:cs="Times New Roman"/>
          <w:sz w:val="24"/>
          <w:szCs w:val="24"/>
        </w:rPr>
        <w:t xml:space="preserve"> В.І.</w:t>
      </w:r>
    </w:p>
    <w:p w:rsidR="00C47B12" w:rsidRPr="00084F5D" w:rsidRDefault="00C47B12" w:rsidP="00C47B12">
      <w:pPr>
        <w:numPr>
          <w:ilvl w:val="0"/>
          <w:numId w:val="1"/>
        </w:numPr>
        <w:autoSpaceDE w:val="0"/>
        <w:autoSpaceDN w:val="0"/>
        <w:adjustRightInd w:val="0"/>
        <w:spacing w:after="0" w:line="276" w:lineRule="auto"/>
        <w:jc w:val="both"/>
        <w:rPr>
          <w:rFonts w:ascii="Times New Roman" w:hAnsi="Times New Roman" w:cs="Times New Roman"/>
          <w:sz w:val="24"/>
          <w:szCs w:val="24"/>
        </w:rPr>
      </w:pPr>
      <w:proofErr w:type="spellStart"/>
      <w:r w:rsidRPr="00084F5D">
        <w:rPr>
          <w:rFonts w:ascii="Times New Roman" w:hAnsi="Times New Roman" w:cs="Times New Roman"/>
          <w:sz w:val="24"/>
          <w:szCs w:val="24"/>
        </w:rPr>
        <w:t>Собина</w:t>
      </w:r>
      <w:proofErr w:type="spellEnd"/>
      <w:r w:rsidRPr="00084F5D">
        <w:rPr>
          <w:rFonts w:ascii="Times New Roman" w:hAnsi="Times New Roman" w:cs="Times New Roman"/>
          <w:sz w:val="24"/>
          <w:szCs w:val="24"/>
        </w:rPr>
        <w:t xml:space="preserve"> О.І.</w:t>
      </w:r>
    </w:p>
    <w:p w:rsidR="00C47B12" w:rsidRPr="00030828" w:rsidRDefault="00C47B12" w:rsidP="00C47B12">
      <w:pPr>
        <w:autoSpaceDE w:val="0"/>
        <w:autoSpaceDN w:val="0"/>
        <w:adjustRightInd w:val="0"/>
        <w:spacing w:after="0" w:line="276" w:lineRule="auto"/>
        <w:ind w:firstLine="705"/>
        <w:jc w:val="both"/>
        <w:rPr>
          <w:rFonts w:ascii="Times New Roman" w:hAnsi="Times New Roman" w:cs="Times New Roman"/>
          <w:b/>
          <w:bCs/>
          <w:sz w:val="24"/>
          <w:szCs w:val="24"/>
          <w:u w:val="single"/>
        </w:rPr>
      </w:pPr>
      <w:r w:rsidRPr="00030828">
        <w:rPr>
          <w:rFonts w:ascii="Times New Roman" w:hAnsi="Times New Roman" w:cs="Times New Roman"/>
          <w:b/>
          <w:bCs/>
          <w:sz w:val="24"/>
          <w:szCs w:val="24"/>
          <w:u w:val="single"/>
        </w:rPr>
        <w:t>Колегія з розгляду кримінальних справ:</w:t>
      </w:r>
    </w:p>
    <w:p w:rsidR="00C47B12" w:rsidRPr="00030828" w:rsidRDefault="00C47B12" w:rsidP="00C47B12">
      <w:pPr>
        <w:autoSpaceDE w:val="0"/>
        <w:autoSpaceDN w:val="0"/>
        <w:adjustRightInd w:val="0"/>
        <w:spacing w:after="0" w:line="276" w:lineRule="auto"/>
        <w:ind w:firstLine="705"/>
        <w:jc w:val="both"/>
        <w:rPr>
          <w:rFonts w:ascii="Times New Roman" w:hAnsi="Times New Roman" w:cs="Times New Roman"/>
          <w:sz w:val="24"/>
          <w:szCs w:val="24"/>
        </w:rPr>
      </w:pPr>
      <w:r w:rsidRPr="00030828">
        <w:rPr>
          <w:rFonts w:ascii="Times New Roman" w:hAnsi="Times New Roman" w:cs="Times New Roman"/>
          <w:b/>
          <w:bCs/>
          <w:sz w:val="24"/>
          <w:szCs w:val="24"/>
        </w:rPr>
        <w:t>Основний склад:</w:t>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b/>
          <w:bCs/>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r>
      <w:r w:rsidRPr="00030828">
        <w:rPr>
          <w:rFonts w:ascii="Times New Roman" w:hAnsi="Times New Roman" w:cs="Times New Roman"/>
          <w:sz w:val="24"/>
          <w:szCs w:val="24"/>
        </w:rPr>
        <w:tab/>
        <w:t>1. Рунов В.Ю.</w:t>
      </w:r>
      <w:r w:rsidRPr="00030828">
        <w:rPr>
          <w:rFonts w:ascii="Times New Roman" w:hAnsi="Times New Roman" w:cs="Times New Roman"/>
          <w:sz w:val="24"/>
          <w:szCs w:val="24"/>
        </w:rPr>
        <w:tab/>
      </w:r>
    </w:p>
    <w:p w:rsidR="00C47B12" w:rsidRPr="00030828" w:rsidRDefault="00C47B12" w:rsidP="00C47B12">
      <w:pPr>
        <w:autoSpaceDE w:val="0"/>
        <w:autoSpaceDN w:val="0"/>
        <w:adjustRightInd w:val="0"/>
        <w:spacing w:after="0" w:line="276" w:lineRule="auto"/>
        <w:ind w:firstLine="705"/>
        <w:jc w:val="both"/>
        <w:rPr>
          <w:rFonts w:ascii="Times New Roman" w:hAnsi="Times New Roman" w:cs="Times New Roman"/>
          <w:sz w:val="24"/>
          <w:szCs w:val="24"/>
        </w:rPr>
      </w:pPr>
      <w:r w:rsidRPr="00030828">
        <w:rPr>
          <w:rFonts w:ascii="Times New Roman" w:hAnsi="Times New Roman" w:cs="Times New Roman"/>
          <w:sz w:val="24"/>
          <w:szCs w:val="24"/>
        </w:rPr>
        <w:t xml:space="preserve">2. </w:t>
      </w:r>
      <w:proofErr w:type="spellStart"/>
      <w:r w:rsidRPr="00030828">
        <w:rPr>
          <w:rFonts w:ascii="Times New Roman" w:hAnsi="Times New Roman" w:cs="Times New Roman"/>
          <w:sz w:val="24"/>
          <w:szCs w:val="24"/>
        </w:rPr>
        <w:t>Філонова</w:t>
      </w:r>
      <w:proofErr w:type="spellEnd"/>
      <w:r w:rsidRPr="00030828">
        <w:rPr>
          <w:rFonts w:ascii="Times New Roman" w:hAnsi="Times New Roman" w:cs="Times New Roman"/>
          <w:sz w:val="24"/>
          <w:szCs w:val="24"/>
        </w:rPr>
        <w:t xml:space="preserve"> Ю.О.</w:t>
      </w:r>
      <w:r w:rsidRPr="00030828">
        <w:rPr>
          <w:rFonts w:ascii="Times New Roman" w:hAnsi="Times New Roman" w:cs="Times New Roman"/>
          <w:sz w:val="24"/>
          <w:szCs w:val="24"/>
        </w:rPr>
        <w:tab/>
      </w:r>
    </w:p>
    <w:p w:rsidR="00C47B12" w:rsidRPr="00030828" w:rsidRDefault="00C47B12" w:rsidP="00C47B12">
      <w:pPr>
        <w:autoSpaceDE w:val="0"/>
        <w:autoSpaceDN w:val="0"/>
        <w:adjustRightInd w:val="0"/>
        <w:spacing w:after="0" w:line="276" w:lineRule="auto"/>
        <w:jc w:val="both"/>
        <w:rPr>
          <w:rFonts w:ascii="Times New Roman" w:hAnsi="Times New Roman" w:cs="Times New Roman"/>
          <w:i/>
          <w:iCs/>
          <w:sz w:val="23"/>
          <w:szCs w:val="23"/>
        </w:rPr>
      </w:pPr>
      <w:r w:rsidRPr="00030828">
        <w:rPr>
          <w:rFonts w:ascii="Times New Roman" w:hAnsi="Times New Roman" w:cs="Times New Roman"/>
          <w:i/>
          <w:iCs/>
          <w:sz w:val="23"/>
          <w:szCs w:val="23"/>
        </w:rPr>
        <w:t>(п. 4.6. зі змінами, затвердженими рішеннями зборів суддів Сумського апеляційного суду № 8 від 14 червня 2019 року, № 7 від 15 червня 2020 року,  № 11 від 18.11.2020, № 12  від 10.12.2020, № 2 від10.02.2021, № 8 від 24.02.2021</w:t>
      </w:r>
      <w:r w:rsidR="0074479A" w:rsidRPr="00030828">
        <w:rPr>
          <w:rFonts w:ascii="Times New Roman" w:hAnsi="Times New Roman" w:cs="Times New Roman"/>
          <w:i/>
          <w:iCs/>
          <w:sz w:val="23"/>
          <w:szCs w:val="23"/>
        </w:rPr>
        <w:t xml:space="preserve">, № </w:t>
      </w:r>
      <w:r w:rsidR="00030828" w:rsidRPr="00030828">
        <w:rPr>
          <w:rFonts w:ascii="Times New Roman" w:hAnsi="Times New Roman" w:cs="Times New Roman"/>
          <w:i/>
          <w:iCs/>
          <w:sz w:val="23"/>
          <w:szCs w:val="23"/>
        </w:rPr>
        <w:t>1</w:t>
      </w:r>
      <w:r w:rsidR="0074479A" w:rsidRPr="00030828">
        <w:rPr>
          <w:rFonts w:ascii="Times New Roman" w:hAnsi="Times New Roman" w:cs="Times New Roman"/>
          <w:i/>
          <w:iCs/>
          <w:sz w:val="23"/>
          <w:szCs w:val="23"/>
        </w:rPr>
        <w:t xml:space="preserve"> від</w:t>
      </w:r>
      <w:r w:rsidR="00030828" w:rsidRPr="00030828">
        <w:rPr>
          <w:rFonts w:ascii="Times New Roman" w:hAnsi="Times New Roman" w:cs="Times New Roman"/>
          <w:i/>
          <w:iCs/>
          <w:sz w:val="23"/>
          <w:szCs w:val="23"/>
        </w:rPr>
        <w:t xml:space="preserve"> 10.03</w:t>
      </w:r>
      <w:r w:rsidR="00030828" w:rsidRPr="0060295A">
        <w:rPr>
          <w:rFonts w:ascii="Times New Roman" w:hAnsi="Times New Roman" w:cs="Times New Roman"/>
          <w:i/>
          <w:iCs/>
          <w:sz w:val="23"/>
          <w:szCs w:val="23"/>
        </w:rPr>
        <w:t>.2023</w:t>
      </w:r>
      <w:r w:rsidR="00976E5D" w:rsidRPr="0060295A">
        <w:rPr>
          <w:rFonts w:ascii="Times New Roman" w:hAnsi="Times New Roman" w:cs="Times New Roman"/>
          <w:i/>
          <w:iCs/>
          <w:sz w:val="23"/>
          <w:szCs w:val="23"/>
        </w:rPr>
        <w:t xml:space="preserve">, </w:t>
      </w:r>
      <w:r w:rsidR="0060295A" w:rsidRPr="0060295A">
        <w:rPr>
          <w:rFonts w:ascii="Times New Roman" w:hAnsi="Times New Roman" w:cs="Times New Roman"/>
          <w:i/>
          <w:iCs/>
          <w:sz w:val="23"/>
          <w:szCs w:val="23"/>
        </w:rPr>
        <w:t>№ 9</w:t>
      </w:r>
      <w:r w:rsidR="00976E5D" w:rsidRPr="0060295A">
        <w:rPr>
          <w:rFonts w:ascii="Times New Roman" w:hAnsi="Times New Roman" w:cs="Times New Roman"/>
          <w:i/>
          <w:iCs/>
          <w:sz w:val="23"/>
          <w:szCs w:val="23"/>
        </w:rPr>
        <w:t xml:space="preserve"> від </w:t>
      </w:r>
      <w:r w:rsidR="004E606D" w:rsidRPr="0060295A">
        <w:rPr>
          <w:rFonts w:ascii="Times New Roman" w:hAnsi="Times New Roman" w:cs="Times New Roman"/>
          <w:i/>
          <w:iCs/>
          <w:sz w:val="23"/>
          <w:szCs w:val="23"/>
        </w:rPr>
        <w:t>25.07.</w:t>
      </w:r>
      <w:r w:rsidR="00976E5D" w:rsidRPr="0060295A">
        <w:rPr>
          <w:rFonts w:ascii="Times New Roman" w:hAnsi="Times New Roman" w:cs="Times New Roman"/>
          <w:i/>
          <w:iCs/>
          <w:sz w:val="23"/>
          <w:szCs w:val="23"/>
        </w:rPr>
        <w:t>2023</w:t>
      </w:r>
      <w:r w:rsidRPr="0060295A">
        <w:rPr>
          <w:rFonts w:ascii="Times New Roman" w:hAnsi="Times New Roman" w:cs="Times New Roman"/>
          <w:i/>
          <w:iCs/>
          <w:sz w:val="23"/>
          <w:szCs w:val="23"/>
        </w:rPr>
        <w:t>)</w:t>
      </w:r>
    </w:p>
    <w:p w:rsidR="00C47B12" w:rsidRPr="00030828" w:rsidRDefault="00C47B12" w:rsidP="00C47B12">
      <w:pPr>
        <w:tabs>
          <w:tab w:val="left" w:pos="6570"/>
        </w:tabs>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4.7. Інформація щодо заміни суддів у складі колегії негайно доводиться відповідальним працівником апарату суду до відома судді-доповідача.</w:t>
      </w:r>
    </w:p>
    <w:p w:rsidR="00C47B12" w:rsidRPr="00030828"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4.8. Не розподіляються щодо конкретного судді, як доповідачеві, справи, що надійшли: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030828">
        <w:rPr>
          <w:rFonts w:ascii="Times New Roman" w:hAnsi="Times New Roman" w:cs="Times New Roman"/>
          <w:sz w:val="24"/>
          <w:szCs w:val="24"/>
        </w:rPr>
        <w:tab/>
        <w:t>за два місяці</w:t>
      </w:r>
      <w:r w:rsidRPr="002628A9">
        <w:rPr>
          <w:rFonts w:ascii="Times New Roman" w:hAnsi="Times New Roman" w:cs="Times New Roman"/>
          <w:sz w:val="24"/>
          <w:szCs w:val="24"/>
        </w:rPr>
        <w:t xml:space="preserve"> до закінчення повноважень судді;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за чотирнадцять календарних днів до початку відпустки, якщо її тривалість становить не менше 14 календарних днів;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за три робочих дні до початку відпустки, якщо її тривалість становить менше 14 календарних днів;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у період відпустки судді;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за один робочий день до відрядження (за три робочі дні – якщо тривалість відрядження становить більше 7 календарних днів) та в дні перебування судді у відрядженні;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під час тимчасової непрацездатності судді;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за один робочий день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юстиції тощо без відбуття у відрядження (за наявності наказу голови суду);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  у разі призначення судді членом Вищої кваліфікаційної комісії суддів України – з моменту прийняття рішення про призначення;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ab/>
        <w:t>в інших передбачених законом випадках, коли суддя не може здійснювати правосуддя або брати участь у розгляді судових справ.</w:t>
      </w:r>
    </w:p>
    <w:p w:rsidR="00C47B12" w:rsidRPr="002628A9" w:rsidRDefault="007303FD"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М</w:t>
      </w:r>
      <w:r w:rsidR="00C47B12" w:rsidRPr="002628A9">
        <w:rPr>
          <w:rFonts w:ascii="Times New Roman" w:hAnsi="Times New Roman" w:cs="Times New Roman"/>
          <w:sz w:val="24"/>
          <w:szCs w:val="24"/>
        </w:rPr>
        <w:t>атеріали кримінальних проваджень за клопотаннями про проведення негласних слідчих (розшукових) дій не розподіляються щодо конкретного судді за три дні до початку відпустки (якщо її тривалість становить не менше чотирнадцяти календарних днів).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i/>
          <w:iCs/>
          <w:sz w:val="23"/>
          <w:szCs w:val="23"/>
        </w:rPr>
      </w:pPr>
      <w:r w:rsidRPr="002628A9">
        <w:rPr>
          <w:rFonts w:ascii="Times New Roman" w:hAnsi="Times New Roman" w:cs="Times New Roman"/>
          <w:i/>
          <w:iCs/>
          <w:sz w:val="23"/>
          <w:szCs w:val="23"/>
        </w:rPr>
        <w:t xml:space="preserve"> (п. 4.8. зі змінами, затвердженими рішенням зборів суддів Сумського апеляційного суду  № 9 від 19 червня 2019 року).</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4.9. Раніше визначеному в судовій справі судді – доповідачеві передаються справи і матеріали, визначені у пунктах 2.3.43-2.3.46 Положення.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У разі відсутності раніше визначеного в судовій справі судді-доповідача, якщо це може призвести до неможливості розгляду справ і матеріалів у розумні строки, - такі справи і матеріали підлягають автоматизованому розподілу на підставі мотивованого розпорядження керівника апарату суду або уповноваженої ним особи на виконання  службової записки (резолюції) секретаря відповідної судової палати. </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lastRenderedPageBreak/>
        <w:t>У разі задоволення відводу або самовідводу заміна судді здійснюється автоматизованою системою на підставі рішення про відвід (самовідвід) відповідальною особою за здійснення  автоматизованого розподілу справ у суді.</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4.10. Раніше визначеному в судовій справі головуючому судді (судді-доповідачу) передаються також апеляційні скарги на ухвали слідчих суддів, які надійшли в межах одного кримінального провадження.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Якщо такі апеляційні скарги передавалися декільком суддям-доповідачам, раніше визначеним суддею–доповідачем є суддя–доповідач, який був визначений автоматизованою системою у цьому кримінальному провадженні останнім, а в разі його відсутності – суддя–доповідач, який був визначений автоматизованою системою перед ним.</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За наявності визначених пунктом 2.3.3 Положення про автоматизовану систему документообігу суду та п. 4.8 Засад обставин щодо заборони розподілу раніше визначеному судді-доповідачу судових справ, апеляційні скарги на ухвали слідчих суддів, які надійшли в межах одного кримінального провадження, розподіляються на загальних підставах.   </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4.11. У випадках повернення до апеляційного суду кримінальної справи, в якій судові рішення скасовувались з передачею судової справи на новий розгляд до суду нижчої інстанції, - такі справи підлягають автоматизованому розподілу на загальних підставах.</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4.12. У випадках тривалого виконання суддями іншої роботи, не пов’язаної зі здійсненням правосуддя, а також у разі виявлення значної різниці в навантаженні на суддів – автоматизований розподіл справ на відповідний період здійснюється без урахування цього судді на підставі мотивованого розпорядження керівника апарату суду за заявою судді та резолюцією секретаря судової палати.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4.13. У разі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а також у вихідні та неробочі дні розподіл справ, які за законом мають розглядатися невідкладно з метою недопущення порушення конституційних прав громадян, здійснюється канцеляріями суду серед суддів відповідної палати в алфавітному порядку з урахуванням спеціалізації та часу надходження справи.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Не пізніше наступного робочого дня після усунення, зазначених вище обставин, до автоматизованої системи вноситься вся інформація щодо надходження кореспонденції та розподілу справ.</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4.14. Повторний автоматизований розподіл судових справ між суддями здійснюється на загальних підставах у випадках, визначених законом, а також з метою заміни суддів у складі колегій.</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4.15. Винятково у разі, коли суддя (судді) у передбачених законом випадках, не може (не можуть) продовжувати розгляд справи, невирішені судові справи передаються для повторного автоматизованого розподілу за вмотивованим розпорядженням керівника апарату суду (особи, яка виконує його обов’язки), що додається до матеріалів справи.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4.16. За вмотивованим розпорядженням керівника апарату суду (особи, яка виконує його обов’язки) здійснюється повторний автоматизований розподіл судових справ у разі виявлення очевидних помилок в роботі автоматизованої системи діловодства суду при автоматизованому розподілі справ, що призвели до порушення порядку визначення судді (колегії суддів) для розгляду справи.</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lastRenderedPageBreak/>
        <w:t>Електронний примірник такого розпорядження вноситься до автоматизованої системи не пізніше наступного робочого дня, що настає після його підписання.</w:t>
      </w:r>
    </w:p>
    <w:p w:rsidR="00681AB2" w:rsidRPr="002628A9" w:rsidRDefault="00681AB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4.17. У інших передбачених </w:t>
      </w:r>
      <w:r w:rsidR="008B74C2" w:rsidRPr="002628A9">
        <w:rPr>
          <w:rFonts w:ascii="Times New Roman" w:hAnsi="Times New Roman" w:cs="Times New Roman"/>
          <w:sz w:val="24"/>
          <w:szCs w:val="24"/>
        </w:rPr>
        <w:t>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 невирішені судові справи передаються для повторного автоматизованого розподілу за вмотивованим розпорядженням</w:t>
      </w:r>
      <w:r w:rsidR="00FF2C03" w:rsidRPr="002628A9">
        <w:rPr>
          <w:rFonts w:ascii="Times New Roman" w:hAnsi="Times New Roman" w:cs="Times New Roman"/>
          <w:sz w:val="24"/>
          <w:szCs w:val="24"/>
        </w:rPr>
        <w:t xml:space="preserve"> керівника апарату суду (особи, яка виконує  його обов'язки) на виконання  службової записки секретаря відповідної  судової палати).</w:t>
      </w:r>
    </w:p>
    <w:p w:rsidR="00FF2C03" w:rsidRPr="002628A9" w:rsidRDefault="00FF2C03"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 xml:space="preserve">Електронний примірник такого розпорядження вноситься до автоматизованої системи не пізніше наступного робочого дня, що настає після його підписання. </w:t>
      </w:r>
    </w:p>
    <w:p w:rsidR="00FF2C03" w:rsidRPr="002628A9" w:rsidRDefault="00FF2C03" w:rsidP="00C47B12">
      <w:pPr>
        <w:autoSpaceDE w:val="0"/>
        <w:autoSpaceDN w:val="0"/>
        <w:adjustRightInd w:val="0"/>
        <w:spacing w:after="0" w:line="276" w:lineRule="auto"/>
        <w:ind w:firstLine="570"/>
        <w:jc w:val="both"/>
        <w:rPr>
          <w:rFonts w:ascii="Times New Roman" w:hAnsi="Times New Roman" w:cs="Times New Roman"/>
          <w:i/>
          <w:sz w:val="24"/>
          <w:szCs w:val="24"/>
        </w:rPr>
      </w:pPr>
      <w:r w:rsidRPr="002628A9">
        <w:rPr>
          <w:rFonts w:ascii="Times New Roman" w:hAnsi="Times New Roman" w:cs="Times New Roman"/>
          <w:i/>
          <w:sz w:val="24"/>
          <w:szCs w:val="24"/>
        </w:rPr>
        <w:t xml:space="preserve">(п. 4.17 затверджений </w:t>
      </w:r>
      <w:r w:rsidR="00820CEF" w:rsidRPr="002628A9">
        <w:rPr>
          <w:rFonts w:ascii="Times New Roman" w:hAnsi="Times New Roman" w:cs="Times New Roman"/>
          <w:i/>
          <w:sz w:val="24"/>
          <w:szCs w:val="24"/>
        </w:rPr>
        <w:t xml:space="preserve">рішенням зборів суддів Сумського апеляційного суду від </w:t>
      </w:r>
      <w:r w:rsidR="007303FD" w:rsidRPr="002628A9">
        <w:rPr>
          <w:rFonts w:ascii="Times New Roman" w:hAnsi="Times New Roman" w:cs="Times New Roman"/>
          <w:i/>
          <w:sz w:val="24"/>
          <w:szCs w:val="24"/>
        </w:rPr>
        <w:t>29.11.2022</w:t>
      </w:r>
      <w:r w:rsidR="00820CEF" w:rsidRPr="002628A9">
        <w:rPr>
          <w:rFonts w:ascii="Times New Roman" w:hAnsi="Times New Roman" w:cs="Times New Roman"/>
          <w:i/>
          <w:sz w:val="24"/>
          <w:szCs w:val="24"/>
        </w:rPr>
        <w:t xml:space="preserve"> № </w:t>
      </w:r>
      <w:r w:rsidR="007303FD" w:rsidRPr="002628A9">
        <w:rPr>
          <w:rFonts w:ascii="Times New Roman" w:hAnsi="Times New Roman" w:cs="Times New Roman"/>
          <w:i/>
          <w:sz w:val="24"/>
          <w:szCs w:val="24"/>
        </w:rPr>
        <w:t>7</w:t>
      </w:r>
      <w:r w:rsidR="00820CEF" w:rsidRPr="002628A9">
        <w:rPr>
          <w:rFonts w:ascii="Times New Roman" w:hAnsi="Times New Roman" w:cs="Times New Roman"/>
          <w:i/>
          <w:sz w:val="24"/>
          <w:szCs w:val="24"/>
        </w:rPr>
        <w:t>)</w:t>
      </w:r>
    </w:p>
    <w:p w:rsidR="00C47B12" w:rsidRPr="002628A9" w:rsidRDefault="00C47B12" w:rsidP="00C47B12">
      <w:pPr>
        <w:tabs>
          <w:tab w:val="left" w:pos="3735"/>
        </w:tabs>
        <w:autoSpaceDE w:val="0"/>
        <w:autoSpaceDN w:val="0"/>
        <w:adjustRightInd w:val="0"/>
        <w:spacing w:after="0" w:line="276" w:lineRule="auto"/>
        <w:jc w:val="center"/>
        <w:rPr>
          <w:rFonts w:ascii="Times New Roman" w:hAnsi="Times New Roman" w:cs="Times New Roman"/>
          <w:b/>
          <w:bCs/>
          <w:sz w:val="24"/>
          <w:szCs w:val="24"/>
        </w:rPr>
      </w:pPr>
    </w:p>
    <w:p w:rsidR="00C47B12" w:rsidRPr="002628A9" w:rsidRDefault="00C47B12" w:rsidP="00C47B12">
      <w:pPr>
        <w:tabs>
          <w:tab w:val="left" w:pos="3735"/>
        </w:tabs>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V. Коефіцієнти щодо форм участі судді у розгляді  справ та складності категорій судових справ</w:t>
      </w:r>
    </w:p>
    <w:p w:rsidR="00C47B12" w:rsidRPr="002628A9" w:rsidRDefault="00C47B12" w:rsidP="00C47B12">
      <w:pPr>
        <w:tabs>
          <w:tab w:val="left" w:pos="3735"/>
        </w:tabs>
        <w:autoSpaceDE w:val="0"/>
        <w:autoSpaceDN w:val="0"/>
        <w:adjustRightInd w:val="0"/>
        <w:spacing w:after="0" w:line="276" w:lineRule="auto"/>
        <w:ind w:firstLine="705"/>
        <w:rPr>
          <w:rFonts w:ascii="Times New Roman" w:hAnsi="Times New Roman" w:cs="Times New Roman"/>
          <w:sz w:val="24"/>
          <w:szCs w:val="24"/>
        </w:rPr>
      </w:pPr>
    </w:p>
    <w:p w:rsidR="00C47B12" w:rsidRPr="002628A9" w:rsidRDefault="00C47B12" w:rsidP="00C47B12">
      <w:pPr>
        <w:tabs>
          <w:tab w:val="left" w:pos="3735"/>
        </w:tabs>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5.1. Коефіцієнти, що враховують форму участі судді у розгляді судової справи: доповідач – 1; учасник колегії – 0,1.</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5.2. Коефіцієнт складності справ щодо розгляду клопотань про надання дозволів на проведення негласних слідчих (розшукових) дій та оперативно-розшукових заходів – 0,02.</w:t>
      </w: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4"/>
          <w:szCs w:val="24"/>
        </w:rPr>
      </w:pPr>
      <w:r w:rsidRPr="002628A9">
        <w:rPr>
          <w:rFonts w:ascii="Times New Roman" w:hAnsi="Times New Roman" w:cs="Times New Roman"/>
          <w:b/>
          <w:bCs/>
          <w:sz w:val="24"/>
          <w:szCs w:val="24"/>
        </w:rPr>
        <w:t>VI. Навантаження щодо суддів, які обіймають адміністративні посади, та секретарів судових палат</w:t>
      </w:r>
    </w:p>
    <w:p w:rsidR="00C47B12" w:rsidRPr="002628A9" w:rsidRDefault="00C47B12" w:rsidP="00C47B12">
      <w:pPr>
        <w:autoSpaceDE w:val="0"/>
        <w:autoSpaceDN w:val="0"/>
        <w:adjustRightInd w:val="0"/>
        <w:spacing w:after="0" w:line="276" w:lineRule="auto"/>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6.1. Встановити навантаження на суддів щодо розгляду справ, які займають адміністративні посади та секретарів судових палат:</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голові апеляційного суду – 100%;</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заступнику голови апеляційного суду та секретарям судових палат – 100%;</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sz w:val="24"/>
          <w:szCs w:val="24"/>
        </w:rPr>
      </w:pPr>
      <w:r w:rsidRPr="002628A9">
        <w:rPr>
          <w:rFonts w:ascii="Times New Roman" w:hAnsi="Times New Roman" w:cs="Times New Roman"/>
          <w:sz w:val="24"/>
          <w:szCs w:val="24"/>
        </w:rPr>
        <w:t>виконуючому обов’язки голови апеляційного суду – 100%.</w:t>
      </w:r>
    </w:p>
    <w:p w:rsidR="00C47B12" w:rsidRPr="002628A9" w:rsidRDefault="00C47B12" w:rsidP="00C47B12">
      <w:pPr>
        <w:autoSpaceDE w:val="0"/>
        <w:autoSpaceDN w:val="0"/>
        <w:adjustRightInd w:val="0"/>
        <w:spacing w:after="0" w:line="276" w:lineRule="auto"/>
        <w:ind w:firstLine="570"/>
        <w:jc w:val="both"/>
        <w:rPr>
          <w:rFonts w:ascii="Times New Roman" w:hAnsi="Times New Roman" w:cs="Times New Roman"/>
          <w:i/>
          <w:iCs/>
          <w:sz w:val="23"/>
          <w:szCs w:val="23"/>
        </w:rPr>
      </w:pPr>
      <w:r w:rsidRPr="002628A9">
        <w:rPr>
          <w:rFonts w:ascii="Times New Roman" w:hAnsi="Times New Roman" w:cs="Times New Roman"/>
          <w:i/>
          <w:iCs/>
          <w:sz w:val="23"/>
          <w:szCs w:val="23"/>
        </w:rPr>
        <w:t xml:space="preserve"> (п. 6.1. зі змінами, затвердженими рішенням зборів суддів Сумського апеляційного суду  № 1 від 29 січня 2019 року, № 8 від 24 лютого 2021 року)</w:t>
      </w: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color w:val="FF0000"/>
          <w:sz w:val="24"/>
          <w:szCs w:val="24"/>
        </w:rPr>
      </w:pP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r w:rsidRPr="002628A9">
        <w:rPr>
          <w:rFonts w:ascii="Times New Roman" w:hAnsi="Times New Roman" w:cs="Times New Roman"/>
          <w:b/>
          <w:bCs/>
          <w:sz w:val="24"/>
          <w:szCs w:val="24"/>
        </w:rPr>
        <w:t>VІІ. Прикінцеві положення</w:t>
      </w:r>
    </w:p>
    <w:p w:rsidR="00C47B12" w:rsidRPr="002628A9" w:rsidRDefault="00C47B12" w:rsidP="00C47B12">
      <w:pPr>
        <w:autoSpaceDE w:val="0"/>
        <w:autoSpaceDN w:val="0"/>
        <w:adjustRightInd w:val="0"/>
        <w:spacing w:after="0" w:line="276" w:lineRule="auto"/>
        <w:ind w:firstLine="705"/>
        <w:jc w:val="center"/>
        <w:rPr>
          <w:rFonts w:ascii="Times New Roman" w:hAnsi="Times New Roman" w:cs="Times New Roman"/>
          <w:b/>
          <w:bCs/>
          <w:sz w:val="24"/>
          <w:szCs w:val="24"/>
        </w:rPr>
      </w:pPr>
    </w:p>
    <w:p w:rsidR="00C47B12" w:rsidRPr="002628A9" w:rsidRDefault="00C47B12" w:rsidP="00C47B12">
      <w:pPr>
        <w:autoSpaceDE w:val="0"/>
        <w:autoSpaceDN w:val="0"/>
        <w:adjustRightInd w:val="0"/>
        <w:spacing w:after="195" w:line="276" w:lineRule="auto"/>
        <w:ind w:firstLine="705"/>
        <w:jc w:val="both"/>
        <w:rPr>
          <w:rFonts w:ascii="Times New Roman" w:hAnsi="Times New Roman" w:cs="Times New Roman"/>
          <w:sz w:val="24"/>
          <w:szCs w:val="24"/>
        </w:rPr>
      </w:pPr>
      <w:r w:rsidRPr="002628A9">
        <w:rPr>
          <w:rFonts w:ascii="Times New Roman" w:hAnsi="Times New Roman" w:cs="Times New Roman"/>
          <w:sz w:val="24"/>
          <w:szCs w:val="24"/>
        </w:rPr>
        <w:t>Дана редакція Засад використання автоматизованої системи документообігу в Сумському апеляційному суді набирає чинності з 14 грудня 2018  року.</w:t>
      </w:r>
    </w:p>
    <w:p w:rsidR="00C47B12" w:rsidRPr="002628A9" w:rsidRDefault="00C47B12" w:rsidP="00C47B12">
      <w:pPr>
        <w:autoSpaceDE w:val="0"/>
        <w:autoSpaceDN w:val="0"/>
        <w:adjustRightInd w:val="0"/>
        <w:spacing w:after="195" w:line="276" w:lineRule="auto"/>
        <w:ind w:firstLine="705"/>
        <w:jc w:val="both"/>
        <w:rPr>
          <w:rFonts w:ascii="Calibri" w:hAnsi="Calibri" w:cs="Calibri"/>
        </w:rPr>
      </w:pPr>
    </w:p>
    <w:p w:rsidR="00C47B12" w:rsidRPr="002628A9" w:rsidRDefault="00C47B12" w:rsidP="00C47B12">
      <w:pPr>
        <w:autoSpaceDE w:val="0"/>
        <w:autoSpaceDN w:val="0"/>
        <w:adjustRightInd w:val="0"/>
        <w:spacing w:after="195" w:line="276" w:lineRule="auto"/>
        <w:jc w:val="both"/>
        <w:rPr>
          <w:rFonts w:ascii="Times New Roman" w:hAnsi="Times New Roman" w:cs="Times New Roman"/>
          <w:sz w:val="28"/>
          <w:szCs w:val="28"/>
        </w:rPr>
      </w:pPr>
    </w:p>
    <w:p w:rsidR="00C47B12" w:rsidRPr="002628A9" w:rsidRDefault="00C47B12" w:rsidP="00C47B12">
      <w:pPr>
        <w:autoSpaceDE w:val="0"/>
        <w:autoSpaceDN w:val="0"/>
        <w:adjustRightInd w:val="0"/>
        <w:spacing w:after="195" w:line="276" w:lineRule="auto"/>
        <w:jc w:val="both"/>
        <w:rPr>
          <w:rFonts w:ascii="Times New Roman" w:hAnsi="Times New Roman" w:cs="Times New Roman"/>
          <w:sz w:val="28"/>
          <w:szCs w:val="28"/>
        </w:rPr>
      </w:pPr>
    </w:p>
    <w:p w:rsidR="00DC7D98" w:rsidRPr="002628A9" w:rsidRDefault="00DC7D98"/>
    <w:sectPr w:rsidR="00DC7D98" w:rsidRPr="002628A9" w:rsidSect="00206FC1">
      <w:headerReference w:type="default" r:id="rId7"/>
      <w:pgSz w:w="11906" w:h="16838" w:code="9"/>
      <w:pgMar w:top="850" w:right="566" w:bottom="850" w:left="1417" w:header="680" w:footer="6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D76" w:rsidRDefault="00291D76" w:rsidP="00206FC1">
      <w:pPr>
        <w:spacing w:after="0" w:line="240" w:lineRule="auto"/>
      </w:pPr>
      <w:r>
        <w:separator/>
      </w:r>
    </w:p>
  </w:endnote>
  <w:endnote w:type="continuationSeparator" w:id="0">
    <w:p w:rsidR="00291D76" w:rsidRDefault="00291D76" w:rsidP="0020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D76" w:rsidRDefault="00291D76" w:rsidP="00206FC1">
      <w:pPr>
        <w:spacing w:after="0" w:line="240" w:lineRule="auto"/>
      </w:pPr>
      <w:r>
        <w:separator/>
      </w:r>
    </w:p>
  </w:footnote>
  <w:footnote w:type="continuationSeparator" w:id="0">
    <w:p w:rsidR="00291D76" w:rsidRDefault="00291D76" w:rsidP="00206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811771"/>
      <w:docPartObj>
        <w:docPartGallery w:val="Page Numbers (Top of Page)"/>
        <w:docPartUnique/>
      </w:docPartObj>
    </w:sdtPr>
    <w:sdtContent>
      <w:p w:rsidR="00206FC1" w:rsidRDefault="00206FC1">
        <w:pPr>
          <w:pStyle w:val="a5"/>
          <w:jc w:val="center"/>
        </w:pPr>
        <w:r>
          <w:fldChar w:fldCharType="begin"/>
        </w:r>
        <w:r>
          <w:instrText>PAGE   \* MERGEFORMAT</w:instrText>
        </w:r>
        <w:r>
          <w:fldChar w:fldCharType="separate"/>
        </w:r>
        <w:r w:rsidR="00C55BB7" w:rsidRPr="00C55BB7">
          <w:rPr>
            <w:noProof/>
            <w:lang w:val="ru-RU"/>
          </w:rPr>
          <w:t>4</w:t>
        </w:r>
        <w:r>
          <w:fldChar w:fldCharType="end"/>
        </w:r>
      </w:p>
    </w:sdtContent>
  </w:sdt>
  <w:p w:rsidR="00206FC1" w:rsidRDefault="00206FC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B114E"/>
    <w:multiLevelType w:val="multilevel"/>
    <w:tmpl w:val="1439B442"/>
    <w:lvl w:ilvl="0">
      <w:start w:val="1"/>
      <w:numFmt w:val="decimal"/>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12"/>
    <w:rsid w:val="00030828"/>
    <w:rsid w:val="00084F5D"/>
    <w:rsid w:val="000D2FE1"/>
    <w:rsid w:val="00206FC1"/>
    <w:rsid w:val="002628A9"/>
    <w:rsid w:val="00291D76"/>
    <w:rsid w:val="00374E39"/>
    <w:rsid w:val="003D6EF0"/>
    <w:rsid w:val="004E606D"/>
    <w:rsid w:val="0060199F"/>
    <w:rsid w:val="0060295A"/>
    <w:rsid w:val="006409D3"/>
    <w:rsid w:val="00681AB2"/>
    <w:rsid w:val="00715943"/>
    <w:rsid w:val="00725499"/>
    <w:rsid w:val="007303FD"/>
    <w:rsid w:val="0074479A"/>
    <w:rsid w:val="007B0E5F"/>
    <w:rsid w:val="007B2C3E"/>
    <w:rsid w:val="00820CEF"/>
    <w:rsid w:val="00833067"/>
    <w:rsid w:val="008B74C2"/>
    <w:rsid w:val="00952CCE"/>
    <w:rsid w:val="00976E5D"/>
    <w:rsid w:val="00A168E5"/>
    <w:rsid w:val="00C268EB"/>
    <w:rsid w:val="00C47B12"/>
    <w:rsid w:val="00C55BB7"/>
    <w:rsid w:val="00D5613B"/>
    <w:rsid w:val="00D9302B"/>
    <w:rsid w:val="00DC7D98"/>
    <w:rsid w:val="00DD30A0"/>
    <w:rsid w:val="00E47517"/>
    <w:rsid w:val="00FA1F5B"/>
    <w:rsid w:val="00FF2C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D223"/>
  <w15:docId w15:val="{051C0A4D-0A27-4AA4-9A54-3233D3D2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E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E5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0E5F"/>
    <w:rPr>
      <w:rFonts w:ascii="Segoe UI" w:hAnsi="Segoe UI" w:cs="Segoe UI"/>
      <w:sz w:val="18"/>
      <w:szCs w:val="18"/>
    </w:rPr>
  </w:style>
  <w:style w:type="paragraph" w:styleId="a5">
    <w:name w:val="header"/>
    <w:basedOn w:val="a"/>
    <w:link w:val="a6"/>
    <w:uiPriority w:val="99"/>
    <w:unhideWhenUsed/>
    <w:rsid w:val="00206FC1"/>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06FC1"/>
  </w:style>
  <w:style w:type="paragraph" w:styleId="a7">
    <w:name w:val="footer"/>
    <w:basedOn w:val="a"/>
    <w:link w:val="a8"/>
    <w:uiPriority w:val="99"/>
    <w:unhideWhenUsed/>
    <w:rsid w:val="00206FC1"/>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0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10880</Words>
  <Characters>6202</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2024-06-06T10:45:00Z</cp:lastPrinted>
  <dcterms:created xsi:type="dcterms:W3CDTF">2024-06-06T10:34:00Z</dcterms:created>
  <dcterms:modified xsi:type="dcterms:W3CDTF">2024-06-06T10:49:00Z</dcterms:modified>
</cp:coreProperties>
</file>